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0173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 FOLYAMATA</w:t>
      </w:r>
    </w:p>
    <w:p w:rsidR="00100AF1" w:rsidRPr="00100AF1" w:rsidRDefault="00100AF1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 vezetés (és az i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rányítással megbízott személyek</w:t>
      </w: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) által azonosított és kezelt olyan üzleti és csalási kockázatok, amelyek befolyásolhatják a pénzügyi beszámolási célok elérését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</w:p>
    <w:p w:rsidR="00537785" w:rsidRPr="00143A74" w:rsidRDefault="00537785" w:rsidP="00537785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537785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37785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37785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85" w:rsidRPr="00143A74" w:rsidRDefault="00537785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537785" w:rsidRDefault="00537785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315C87" w:rsidRPr="000E68D7" w:rsidRDefault="008F7E1B">
      <w:pPr>
        <w:rPr>
          <w:rFonts w:ascii="Arial Narrow" w:hAnsi="Arial Narrow"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0E68D7">
        <w:rPr>
          <w:rFonts w:ascii="Arial Narrow" w:hAnsi="Arial Narrow"/>
          <w:b/>
          <w:sz w:val="28"/>
          <w:szCs w:val="28"/>
        </w:rPr>
        <w:t xml:space="preserve"> </w:t>
      </w:r>
      <w:r w:rsidR="000E68D7" w:rsidRPr="000E68D7">
        <w:rPr>
          <w:rFonts w:ascii="Arial Narrow" w:hAnsi="Arial Narrow"/>
          <w:sz w:val="28"/>
          <w:szCs w:val="28"/>
        </w:rPr>
        <w:t>(IFAC útmutató felhasználásával)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B6171F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kockázatbecslési folyamattal?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nem: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Milyen lényeges üzleti kockázatokat azonosítottak?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Hogyan kezelték a kockázatokat?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Kockázat a</w:t>
            </w:r>
            <w:r w:rsidR="00B6171F">
              <w:rPr>
                <w:rFonts w:ascii="Arial Narrow" w:hAnsi="Arial Narrow"/>
              </w:rPr>
              <w:t>zonosítás módja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6171F">
              <w:rPr>
                <w:rFonts w:ascii="Arial Narrow" w:hAnsi="Arial Narrow"/>
              </w:rPr>
              <w:t>ockázat jelentőségének becslése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előfordulás valószínűségének mérése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49B7" w:rsidRPr="00143A74" w:rsidTr="006E4B2E">
        <w:tc>
          <w:tcPr>
            <w:tcW w:w="2464" w:type="dxa"/>
            <w:shd w:val="clear" w:color="auto" w:fill="auto"/>
          </w:tcPr>
          <w:p w:rsidR="008849B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kockázatkezelésre irányuló döntések módja</w:t>
            </w:r>
          </w:p>
        </w:tc>
        <w:tc>
          <w:tcPr>
            <w:tcW w:w="7308" w:type="dxa"/>
            <w:shd w:val="clear" w:color="auto" w:fill="auto"/>
          </w:tcPr>
          <w:p w:rsidR="008849B7" w:rsidRPr="00143A74" w:rsidRDefault="008849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B6171F" w:rsidRDefault="00B6171F" w:rsidP="00D641E0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  <w:i/>
              </w:rPr>
              <w:t>Azonosított kontroll hiányosságok: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B6171F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igen: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B6171F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A kockázatbecslési folyamat jellemzése: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működési környezet változása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Új szenior munkatársak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IT rendszer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lastRenderedPageBreak/>
              <w:t>Gyors növekedés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technológia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üzleti modellek, termékek, tevékenységek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Vállalati átszervezés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 xml:space="preserve">Külföldi </w:t>
            </w:r>
            <w:proofErr w:type="spellStart"/>
            <w:r w:rsidRPr="000E68D7">
              <w:rPr>
                <w:rFonts w:ascii="Arial Narrow" w:hAnsi="Arial Narrow"/>
              </w:rPr>
              <w:t>tev</w:t>
            </w:r>
            <w:proofErr w:type="spellEnd"/>
            <w:r w:rsidRPr="000E68D7">
              <w:rPr>
                <w:rFonts w:ascii="Arial Narrow" w:hAnsi="Arial Narrow"/>
              </w:rPr>
              <w:t>. bővítés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számviteli szabályok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0E68D7">
            <w:pPr>
              <w:pStyle w:val="Listaszerbekezds"/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csalási</w:t>
            </w:r>
            <w:r>
              <w:rPr>
                <w:rFonts w:ascii="Arial Narrow" w:hAnsi="Arial Narrow"/>
                <w:i/>
              </w:rPr>
              <w:t xml:space="preserve"> kockázat: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üzletii kockázat</w:t>
            </w:r>
            <w:r w:rsidR="00710C66">
              <w:rPr>
                <w:rFonts w:ascii="Arial Narrow" w:hAnsi="Arial Narrow"/>
                <w:i/>
              </w:rPr>
              <w:t xml:space="preserve">: 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1130"/>
      </w:tblGrid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ISA 315. standard </w:t>
            </w:r>
            <w:r w:rsidRPr="003A1436">
              <w:rPr>
                <w:rFonts w:ascii="Arial Narrow" w:hAnsi="Arial Narrow"/>
              </w:rPr>
              <w:t xml:space="preserve">2. sz. függelék  (Hiv.: A40. és A128. bekezdések) </w:t>
            </w:r>
          </w:p>
          <w:p w:rsidR="003A1436" w:rsidRPr="003A1436" w:rsidRDefault="003A1436" w:rsidP="00710C66">
            <w:pPr>
              <w:jc w:val="both"/>
              <w:rPr>
                <w:rFonts w:ascii="Arial Narrow" w:hAnsi="Arial Narrow"/>
                <w:b/>
              </w:rPr>
            </w:pPr>
            <w:r w:rsidRPr="003A1436">
              <w:rPr>
                <w:rFonts w:ascii="Arial Narrow" w:hAnsi="Arial Narrow"/>
                <w:b/>
              </w:rPr>
              <w:t xml:space="preserve">Körülmények és események, amelyek lényeges hibás állítás kockázatait jelezhetik </w:t>
            </w:r>
          </w:p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Az alábbiak példák olyan körülményekre és eseményekre, amelyek a lényeges hibás állítás kockázatainak a meglétét jelezhetik. A példák a körülményeknek és eseményeknek a széles körét fedik le; ugyanakkor nem minden körülmény és esemény releváns minden egyes könyvvizsgálati megbízás szempontjából, és a példák list</w:t>
            </w:r>
            <w:r w:rsidR="00710C66">
              <w:rPr>
                <w:rFonts w:ascii="Arial Narrow" w:hAnsi="Arial Narrow"/>
              </w:rPr>
              <w:t xml:space="preserve">ája nem szükségszerűen teljes.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3A1436" w:rsidRDefault="003A1436" w:rsidP="00710C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I/N</w:t>
            </w: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Olyan régiókban végzett tevékenységek, amelyek gazdaságilag instabilak, például a jelentős valutaleértékelést vagy magas </w:t>
            </w:r>
            <w:r>
              <w:rPr>
                <w:rFonts w:ascii="Arial Narrow" w:hAnsi="Arial Narrow"/>
              </w:rPr>
              <w:t xml:space="preserve">inflációt tapasztaló országok.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Változékony </w:t>
            </w:r>
            <w:r w:rsidRPr="003A1436">
              <w:rPr>
                <w:rFonts w:ascii="Arial Narrow" w:hAnsi="Arial Narrow"/>
              </w:rPr>
              <w:tab/>
              <w:t xml:space="preserve">piacoknak </w:t>
            </w:r>
            <w:r w:rsidRPr="003A1436">
              <w:rPr>
                <w:rFonts w:ascii="Arial Narrow" w:hAnsi="Arial Narrow"/>
              </w:rPr>
              <w:tab/>
              <w:t xml:space="preserve">kitett </w:t>
            </w:r>
            <w:r w:rsidRPr="003A1436">
              <w:rPr>
                <w:rFonts w:ascii="Arial Narrow" w:hAnsi="Arial Narrow"/>
              </w:rPr>
              <w:tab/>
              <w:t xml:space="preserve">tevékenységek, </w:t>
            </w:r>
            <w:r w:rsidRPr="003A1436">
              <w:rPr>
                <w:rFonts w:ascii="Arial Narrow" w:hAnsi="Arial Narrow"/>
              </w:rPr>
              <w:tab/>
              <w:t>példá</w:t>
            </w:r>
            <w:r>
              <w:rPr>
                <w:rFonts w:ascii="Arial Narrow" w:hAnsi="Arial Narrow"/>
              </w:rPr>
              <w:t xml:space="preserve">ul </w:t>
            </w:r>
            <w:r>
              <w:rPr>
                <w:rFonts w:ascii="Arial Narrow" w:hAnsi="Arial Narrow"/>
              </w:rPr>
              <w:tab/>
              <w:t xml:space="preserve">a </w:t>
            </w:r>
            <w:r>
              <w:rPr>
                <w:rFonts w:ascii="Arial Narrow" w:hAnsi="Arial Narrow"/>
              </w:rPr>
              <w:tab/>
              <w:t xml:space="preserve">határidős kereskedelem.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Magas fokú összetett szabályozás tárgyát képező tevékenységek.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vállalkozás folytatásával kapcsolatos és likviditási kérdések, beleértve a jelentős ügyfelek elvesztését.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tőke és a hitelek rendelkezésre állásának korlátozottsága.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abban az ágazatban, amelyben a gazdálkodó egység működik.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az ellátási láncban.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termékek vagy szolgáltatások kidolgozása vagy kínálása, vagy új üzletágak felvétele.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helyszínekre való kiterjeszkedés.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gazdálkodó egységnél, például nagy akvizíciók vagy átszervezések, vagy egyéb szokatlan események.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Olyan gazdálkodó egységek vagy üzleti szegmensek, amelyek valószínűleg eladásra kerülnek.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710C66" w:rsidTr="003A1436">
        <w:tc>
          <w:tcPr>
            <w:tcW w:w="8642" w:type="dxa"/>
          </w:tcPr>
          <w:p w:rsidR="00710C66" w:rsidRPr="003A1436" w:rsidRDefault="00710C6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Összetett szövetségek és közös vállalkozások létezése.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Mérlegen kívüli finanszírozás, speciális célú gazdálkodó egységek és egyéb összetett finanszírozá</w:t>
            </w:r>
            <w:r w:rsidR="00710C66">
              <w:rPr>
                <w:rFonts w:ascii="Arial Narrow" w:hAnsi="Arial Narrow"/>
              </w:rPr>
              <w:t xml:space="preserve">si megállapodások alkalmazása.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lastRenderedPageBreak/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ügyletek kapcsolt felekkel.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megfelelő számviteli és pénzügyi beszámolási ismeretekkel rendelkező munkaerő hiánya.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kulcsfontosságú munkatársak személyében, beleértve a kulcsfontosságú vezetők távozását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belső kontroll hiányosságai, különös tekintettel azokra, amelyekkel a vezetés nem foglalkozott.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Következetlenségek a gazdálkodó egység informatikai stratégiája és üzleti stratégiái között.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Az informatikai környezet változásai.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pénzügyi beszámoláshoz kapcsolódó jelentős új informatikai rendszerek bevezetése.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gazdálkodó egység működésének vagy pénzügyi eredményeinek szabályozó szervek vagy kormányzati szervek által történő ellenőrzései.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Múltbeli hibás állítások, múltbeli hibák vagy jelentős összegű helyesbítések az időszak végén.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számú nem rutinszerű vagy nem szisztematikus ügylet, beleértve az időszak végi csoporton belüli ügyleteket és a nagy bevételű ügyleteket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vezetés szándéka alapján rögzített ügyletek, például az adósságrefinanszírozás, az értékesítésre szánt eszközök és a piacképes értékpapírok besorolása.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Új számviteli szabályok alkalmazása.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Összetett folyamatokat magukban foglaló számviteli értékelések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értékelési bizonytalanságot magukban foglaló események vagy ügyletek, beleértve a számviteli becsléseket is. 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Le nem zárt peres ügyek és függő kötelezettségek, például értékesítési és pénzügyi garanciák, valamint környezetvédelmi helyreállítás.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sectPr w:rsidR="003A1436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4C" w:rsidRDefault="00170E4C" w:rsidP="00315C87">
      <w:pPr>
        <w:spacing w:after="0" w:line="240" w:lineRule="auto"/>
      </w:pPr>
      <w:r>
        <w:separator/>
      </w:r>
    </w:p>
  </w:endnote>
  <w:endnote w:type="continuationSeparator" w:id="0">
    <w:p w:rsidR="00170E4C" w:rsidRDefault="00170E4C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4C" w:rsidRDefault="00170E4C" w:rsidP="00315C87">
      <w:pPr>
        <w:spacing w:after="0" w:line="240" w:lineRule="auto"/>
      </w:pPr>
      <w:r>
        <w:separator/>
      </w:r>
    </w:p>
  </w:footnote>
  <w:footnote w:type="continuationSeparator" w:id="0">
    <w:p w:rsidR="00170E4C" w:rsidRDefault="00170E4C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68FE"/>
    <w:multiLevelType w:val="hybridMultilevel"/>
    <w:tmpl w:val="CE8ED952"/>
    <w:lvl w:ilvl="0" w:tplc="51F8F50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0E68D7"/>
    <w:rsid w:val="00100AF1"/>
    <w:rsid w:val="001378AC"/>
    <w:rsid w:val="00143A74"/>
    <w:rsid w:val="00170E4C"/>
    <w:rsid w:val="001D7975"/>
    <w:rsid w:val="002430DC"/>
    <w:rsid w:val="002710BF"/>
    <w:rsid w:val="00315C87"/>
    <w:rsid w:val="00336CCC"/>
    <w:rsid w:val="00351A8C"/>
    <w:rsid w:val="003712B6"/>
    <w:rsid w:val="003A1436"/>
    <w:rsid w:val="00406343"/>
    <w:rsid w:val="00417186"/>
    <w:rsid w:val="004213C0"/>
    <w:rsid w:val="00436E37"/>
    <w:rsid w:val="00490035"/>
    <w:rsid w:val="004D2A7A"/>
    <w:rsid w:val="00525448"/>
    <w:rsid w:val="00537785"/>
    <w:rsid w:val="00552133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10C66"/>
    <w:rsid w:val="007D2074"/>
    <w:rsid w:val="0080173C"/>
    <w:rsid w:val="008318F6"/>
    <w:rsid w:val="00847E8F"/>
    <w:rsid w:val="00855DA3"/>
    <w:rsid w:val="00864C70"/>
    <w:rsid w:val="008849B7"/>
    <w:rsid w:val="008B4250"/>
    <w:rsid w:val="008E7853"/>
    <w:rsid w:val="008F23E0"/>
    <w:rsid w:val="008F7E1B"/>
    <w:rsid w:val="0091758C"/>
    <w:rsid w:val="009437B4"/>
    <w:rsid w:val="009969C3"/>
    <w:rsid w:val="009D610C"/>
    <w:rsid w:val="00A22DB2"/>
    <w:rsid w:val="00A47E47"/>
    <w:rsid w:val="00A5262E"/>
    <w:rsid w:val="00A878D7"/>
    <w:rsid w:val="00A93EAB"/>
    <w:rsid w:val="00AC06CF"/>
    <w:rsid w:val="00AC7866"/>
    <w:rsid w:val="00B23F49"/>
    <w:rsid w:val="00B6171F"/>
    <w:rsid w:val="00BF5148"/>
    <w:rsid w:val="00C6098B"/>
    <w:rsid w:val="00C84397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44D6E"/>
    <w:rsid w:val="00F466B1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8357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v.1.25.71.0.0#2025.05.21.</dc:description>
  <cp:revision>2</cp:revision>
  <cp:lastPrinted>2018-10-30T10:22:00Z</cp:lastPrinted>
  <dcterms:created xsi:type="dcterms:W3CDTF">2021-01-06T13:27:00Z</dcterms:created>
  <dcterms:modified xsi:type="dcterms:W3CDTF">2024-08-27T13:45:00Z</dcterms:modified>
</cp:coreProperties>
</file>