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7A0A8D" w:rsidRDefault="00F316FB" w:rsidP="00FC148C">
      <w:pPr>
        <w:rPr>
          <w:rFonts w:ascii="Arial Narrow" w:hAnsi="Arial Narrow" w:cs="Arial"/>
        </w:rPr>
      </w:pPr>
    </w:p>
    <w:p w14:paraId="2E160750" w14:textId="315D5788" w:rsidR="00673453" w:rsidRPr="007A0A8D" w:rsidRDefault="007A0A8D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7A0A8D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5.5 sz. melléklet: A megbízás minőségének áttekintéséhez kapcsolódó formanyomtatvány</w:t>
      </w:r>
      <w:r w:rsidR="005F67BF" w:rsidRPr="007A0A8D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7469DA58" w14:textId="1BEA4C98" w:rsidR="007A0A8D" w:rsidRPr="007A0A8D" w:rsidRDefault="007A0A8D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7E430A4" w14:textId="77777777" w:rsidR="007A0A8D" w:rsidRPr="007A0A8D" w:rsidRDefault="007A0A8D" w:rsidP="007A0A8D">
      <w:pPr>
        <w:pStyle w:val="Szvegtrzs"/>
        <w:spacing w:before="219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7A0A8D" w:rsidRPr="007A0A8D" w14:paraId="537995A2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682AF804" w14:textId="77777777" w:rsidR="007A0A8D" w:rsidRPr="007A0A8D" w:rsidRDefault="007A0A8D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áttekintését végző személy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  <w:tr w:rsidR="007A0A8D" w:rsidRPr="007A0A8D" w14:paraId="72035EAB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7A6E3C11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>Áttekintett</w:t>
            </w:r>
            <w:r w:rsidRPr="007A0A8D">
              <w:rPr>
                <w:rFonts w:ascii="Arial Narrow" w:hAnsi="Arial Narrow"/>
                <w:color w:val="373637"/>
                <w:spacing w:val="-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ügyfél </w:t>
            </w:r>
            <w:proofErr w:type="spellStart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aktá</w:t>
            </w:r>
            <w:proofErr w:type="spellEnd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(k):</w:t>
            </w:r>
          </w:p>
        </w:tc>
      </w:tr>
      <w:tr w:rsidR="007A0A8D" w:rsidRPr="007A0A8D" w14:paraId="57312CCB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0653C820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Időszak/év vége:</w:t>
            </w:r>
          </w:p>
        </w:tc>
      </w:tr>
      <w:tr w:rsidR="007A0A8D" w:rsidRPr="007A0A8D" w14:paraId="0097E1FC" w14:textId="77777777" w:rsidTr="007A0A8D">
        <w:trPr>
          <w:trHeight w:val="530"/>
        </w:trPr>
        <w:tc>
          <w:tcPr>
            <w:tcW w:w="9636" w:type="dxa"/>
            <w:shd w:val="clear" w:color="auto" w:fill="auto"/>
          </w:tcPr>
          <w:p w14:paraId="1490584B" w14:textId="77777777" w:rsidR="007A0A8D" w:rsidRPr="007A0A8D" w:rsidRDefault="007A0A8D" w:rsidP="00396479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könyvvizsgáló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neve:</w:t>
            </w:r>
          </w:p>
        </w:tc>
      </w:tr>
    </w:tbl>
    <w:p w14:paraId="5DC51E84" w14:textId="77777777" w:rsidR="007A0A8D" w:rsidRPr="007A0A8D" w:rsidRDefault="007A0A8D" w:rsidP="007A0A8D">
      <w:pPr>
        <w:pStyle w:val="Szvegtrzs"/>
        <w:spacing w:before="198"/>
        <w:rPr>
          <w:rFonts w:ascii="Arial Narrow" w:hAnsi="Arial Narrow"/>
          <w:b/>
          <w:sz w:val="20"/>
          <w:szCs w:val="20"/>
        </w:rPr>
      </w:pPr>
    </w:p>
    <w:tbl>
      <w:tblPr>
        <w:tblStyle w:val="Rcsostblzat"/>
        <w:tblW w:w="96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7"/>
        <w:gridCol w:w="7138"/>
        <w:gridCol w:w="1000"/>
        <w:gridCol w:w="1000"/>
      </w:tblGrid>
      <w:tr w:rsidR="007A0A8D" w:rsidRPr="007A0A8D" w14:paraId="13C8E7D7" w14:textId="77777777" w:rsidTr="007A0A8D">
        <w:trPr>
          <w:trHeight w:val="492"/>
        </w:trPr>
        <w:tc>
          <w:tcPr>
            <w:tcW w:w="7655" w:type="dxa"/>
            <w:gridSpan w:val="2"/>
            <w:shd w:val="clear" w:color="auto" w:fill="006D66"/>
          </w:tcPr>
          <w:p w14:paraId="6E30A0F7" w14:textId="0EDBB132" w:rsidR="007A0A8D" w:rsidRPr="007A0A8D" w:rsidRDefault="007A0A8D" w:rsidP="007A0A8D">
            <w:pPr>
              <w:pStyle w:val="TableParagraph"/>
              <w:spacing w:before="165"/>
              <w:ind w:left="534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Elvégzett</w:t>
            </w:r>
            <w:r w:rsidRPr="007A0A8D">
              <w:rPr>
                <w:rFonts w:ascii="Arial Narrow" w:hAnsi="Arial Narrow"/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eljárások</w:t>
            </w:r>
            <w:r w:rsidRPr="007A0A8D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  <w:lang w:val="hu-HU"/>
              </w:rPr>
              <w:footnoteReference w:id="2"/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1000" w:type="dxa"/>
            <w:shd w:val="clear" w:color="auto" w:fill="006D66"/>
          </w:tcPr>
          <w:p w14:paraId="5A9C286D" w14:textId="77777777" w:rsidR="007A0A8D" w:rsidRPr="007A0A8D" w:rsidRDefault="007A0A8D" w:rsidP="007A0A8D">
            <w:pPr>
              <w:pStyle w:val="TableParagraph"/>
              <w:spacing w:before="165"/>
              <w:ind w:left="282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4"/>
                <w:sz w:val="20"/>
                <w:szCs w:val="20"/>
                <w:lang w:val="hu-HU"/>
              </w:rPr>
              <w:t>Kész</w:t>
            </w:r>
          </w:p>
        </w:tc>
        <w:tc>
          <w:tcPr>
            <w:tcW w:w="1000" w:type="dxa"/>
            <w:shd w:val="clear" w:color="auto" w:fill="006D66"/>
          </w:tcPr>
          <w:p w14:paraId="33C7D1D0" w14:textId="77777777" w:rsidR="007A0A8D" w:rsidRPr="007A0A8D" w:rsidRDefault="007A0A8D" w:rsidP="007A0A8D">
            <w:pPr>
              <w:pStyle w:val="TableParagraph"/>
              <w:spacing w:before="160"/>
              <w:ind w:left="333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5"/>
                <w:w w:val="105"/>
                <w:sz w:val="20"/>
                <w:szCs w:val="20"/>
                <w:lang w:val="hu-HU"/>
              </w:rPr>
              <w:t>N/A</w:t>
            </w:r>
          </w:p>
        </w:tc>
      </w:tr>
      <w:tr w:rsidR="007A0A8D" w:rsidRPr="007A0A8D" w14:paraId="0DC739F0" w14:textId="77777777" w:rsidTr="007A0A8D">
        <w:trPr>
          <w:trHeight w:val="1604"/>
        </w:trPr>
        <w:tc>
          <w:tcPr>
            <w:tcW w:w="517" w:type="dxa"/>
          </w:tcPr>
          <w:p w14:paraId="04574307" w14:textId="5880AEF5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(a)</w:t>
            </w:r>
          </w:p>
        </w:tc>
        <w:tc>
          <w:tcPr>
            <w:tcW w:w="7138" w:type="dxa"/>
          </w:tcPr>
          <w:p w14:paraId="22B306C3" w14:textId="77777777" w:rsidR="007A0A8D" w:rsidRPr="007A0A8D" w:rsidRDefault="007A0A8D" w:rsidP="007A0A8D">
            <w:pPr>
              <w:pStyle w:val="TableParagraph"/>
              <w:spacing w:before="71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Olvassa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el,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értse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alábbi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információkat:</w:t>
            </w:r>
          </w:p>
          <w:p w14:paraId="4917288D" w14:textId="77777777" w:rsidR="007A0A8D" w:rsidRPr="007A0A8D" w:rsidRDefault="007A0A8D" w:rsidP="007A0A8D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spacing w:before="123"/>
              <w:ind w:right="12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megbízásért felelős partner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által közölt információk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körülményeire,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gazdálkodó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egységre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vonatkozóan; és</w:t>
            </w:r>
          </w:p>
          <w:p w14:paraId="187B8E87" w14:textId="77777777" w:rsidR="007A0A8D" w:rsidRPr="007A0A8D" w:rsidRDefault="007A0A8D" w:rsidP="007A0A8D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autoSpaceDE w:val="0"/>
              <w:autoSpaceDN w:val="0"/>
              <w:spacing w:before="50" w:line="240" w:lineRule="atLeast"/>
              <w:ind w:left="375" w:right="457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könyvvizsgáló által közölt információk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figyelemmel kísérési és helyrehozási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folyamatával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különösen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azonosított hiányosságokkal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amelyek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partner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által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hozott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megítéléssel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járó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területekre vonatkozhatnak vagy azokat érinthetik.</w:t>
            </w:r>
          </w:p>
        </w:tc>
        <w:tc>
          <w:tcPr>
            <w:tcW w:w="1000" w:type="dxa"/>
          </w:tcPr>
          <w:p w14:paraId="57179AB2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3F968DB5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1A63088F" w14:textId="77777777" w:rsidTr="007A0A8D">
        <w:trPr>
          <w:trHeight w:val="545"/>
        </w:trPr>
        <w:tc>
          <w:tcPr>
            <w:tcW w:w="517" w:type="dxa"/>
          </w:tcPr>
          <w:p w14:paraId="2F067638" w14:textId="77777777" w:rsidR="007A0A8D" w:rsidRPr="007A0A8D" w:rsidRDefault="007A0A8D" w:rsidP="007A0A8D">
            <w:pPr>
              <w:pStyle w:val="TableParagraph"/>
              <w:spacing w:before="191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(b)</w:t>
            </w:r>
          </w:p>
        </w:tc>
        <w:tc>
          <w:tcPr>
            <w:tcW w:w="7138" w:type="dxa"/>
          </w:tcPr>
          <w:p w14:paraId="25F20781" w14:textId="77777777" w:rsidR="007A0A8D" w:rsidRPr="007A0A8D" w:rsidRDefault="007A0A8D" w:rsidP="007A0A8D">
            <w:pPr>
              <w:pStyle w:val="TableParagraph"/>
              <w:spacing w:before="38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Vitassa meg a megbízásért felelős partnerrel a megbízás tervezése,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végrehajtása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megbízással kapcsolatos jelentéskészítés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során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felmerült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ügyeket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megítéléseket.</w:t>
            </w:r>
          </w:p>
        </w:tc>
        <w:tc>
          <w:tcPr>
            <w:tcW w:w="1000" w:type="dxa"/>
          </w:tcPr>
          <w:p w14:paraId="5116AC70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6DE236F3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3D480F72" w14:textId="77777777" w:rsidTr="007A0A8D">
        <w:trPr>
          <w:trHeight w:val="1775"/>
        </w:trPr>
        <w:tc>
          <w:tcPr>
            <w:tcW w:w="517" w:type="dxa"/>
          </w:tcPr>
          <w:p w14:paraId="5F188F7C" w14:textId="6FE24003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(c)</w:t>
            </w:r>
          </w:p>
        </w:tc>
        <w:tc>
          <w:tcPr>
            <w:tcW w:w="7138" w:type="dxa"/>
          </w:tcPr>
          <w:p w14:paraId="4C4565C8" w14:textId="77777777" w:rsidR="007A0A8D" w:rsidRPr="007A0A8D" w:rsidRDefault="007A0A8D" w:rsidP="007A0A8D">
            <w:pPr>
              <w:pStyle w:val="TableParagraph"/>
              <w:spacing w:before="71" w:line="278" w:lineRule="auto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a)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 b)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pontokban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kapott információk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alapján tekintse át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megbízásért felelős partner által hozott jelentős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megítélésekre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vonatkozóan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kiválasztott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dokumentációt,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értékelje:</w:t>
            </w:r>
          </w:p>
          <w:p w14:paraId="1D5E8C6A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autoSpaceDE w:val="0"/>
              <w:autoSpaceDN w:val="0"/>
              <w:spacing w:before="88" w:line="278" w:lineRule="auto"/>
              <w:ind w:right="311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említett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alapját,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beleértve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amennyiben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típusára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alkalmazható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 partner szakmai szkepticizmusának gyakorlását is</w:t>
            </w:r>
          </w:p>
          <w:p w14:paraId="4F3D816B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autoSpaceDE w:val="0"/>
              <w:autoSpaceDN w:val="0"/>
              <w:spacing w:before="89"/>
              <w:ind w:left="372" w:hanging="278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hogy 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dokumentáció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alátámasztja-e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következtetéseket;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059AC795" w14:textId="77777777" w:rsidR="007A0A8D" w:rsidRPr="007A0A8D" w:rsidRDefault="007A0A8D" w:rsidP="007A0A8D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autoSpaceDE w:val="0"/>
              <w:autoSpaceDN w:val="0"/>
              <w:spacing w:before="123"/>
              <w:ind w:left="371" w:hanging="27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hogy megfelelőek-e</w:t>
            </w:r>
            <w:r w:rsidRPr="007A0A8D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következtetések.</w:t>
            </w:r>
          </w:p>
        </w:tc>
        <w:tc>
          <w:tcPr>
            <w:tcW w:w="1000" w:type="dxa"/>
          </w:tcPr>
          <w:p w14:paraId="1DE74D36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4D89DF4B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347F26A9" w14:textId="77777777" w:rsidTr="007A0A8D">
        <w:trPr>
          <w:trHeight w:val="545"/>
        </w:trPr>
        <w:tc>
          <w:tcPr>
            <w:tcW w:w="517" w:type="dxa"/>
          </w:tcPr>
          <w:p w14:paraId="10856208" w14:textId="77777777" w:rsidR="007A0A8D" w:rsidRPr="007A0A8D" w:rsidRDefault="007A0A8D" w:rsidP="007A0A8D">
            <w:pPr>
              <w:pStyle w:val="TableParagraph"/>
              <w:spacing w:before="190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(d)</w:t>
            </w:r>
          </w:p>
        </w:tc>
        <w:tc>
          <w:tcPr>
            <w:tcW w:w="7138" w:type="dxa"/>
          </w:tcPr>
          <w:p w14:paraId="680E89AC" w14:textId="77777777" w:rsidR="007A0A8D" w:rsidRPr="007A0A8D" w:rsidRDefault="007A0A8D" w:rsidP="007A0A8D">
            <w:pPr>
              <w:pStyle w:val="TableParagraph"/>
              <w:spacing w:before="37"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megállapításának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alapját,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függetlenségre vonatkozó etikai követelmények teljesültek.</w:t>
            </w:r>
          </w:p>
        </w:tc>
        <w:tc>
          <w:tcPr>
            <w:tcW w:w="1000" w:type="dxa"/>
          </w:tcPr>
          <w:p w14:paraId="10C4713D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5B38FE43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688D80FC" w14:textId="77777777" w:rsidTr="007A0A8D">
        <w:trPr>
          <w:trHeight w:val="544"/>
        </w:trPr>
        <w:tc>
          <w:tcPr>
            <w:tcW w:w="517" w:type="dxa"/>
          </w:tcPr>
          <w:p w14:paraId="0CFADE77" w14:textId="77777777" w:rsidR="007A0A8D" w:rsidRPr="007A0A8D" w:rsidRDefault="007A0A8D" w:rsidP="007A0A8D">
            <w:pPr>
              <w:pStyle w:val="TableParagraph"/>
              <w:spacing w:before="190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(e)</w:t>
            </w:r>
          </w:p>
        </w:tc>
        <w:tc>
          <w:tcPr>
            <w:tcW w:w="7138" w:type="dxa"/>
          </w:tcPr>
          <w:p w14:paraId="0F353022" w14:textId="77777777" w:rsidR="007A0A8D" w:rsidRPr="007A0A8D" w:rsidRDefault="007A0A8D" w:rsidP="007A0A8D">
            <w:pPr>
              <w:pStyle w:val="TableParagraph"/>
              <w:spacing w:before="37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Annak értékelése, hogy a nehéz vagy vitás, illetve véleménykülönbségekkel járó ügyekben megfelelő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konzultációra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került-e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sor,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konzultációkból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értékelése.</w:t>
            </w:r>
          </w:p>
        </w:tc>
        <w:tc>
          <w:tcPr>
            <w:tcW w:w="1000" w:type="dxa"/>
          </w:tcPr>
          <w:p w14:paraId="068444F9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1B56B5EA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1DCB8947" w14:textId="77777777" w:rsidTr="007A0A8D">
        <w:trPr>
          <w:trHeight w:val="1217"/>
        </w:trPr>
        <w:tc>
          <w:tcPr>
            <w:tcW w:w="517" w:type="dxa"/>
          </w:tcPr>
          <w:p w14:paraId="008AEADC" w14:textId="0A91659C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(f)</w:t>
            </w:r>
          </w:p>
        </w:tc>
        <w:tc>
          <w:tcPr>
            <w:tcW w:w="7138" w:type="dxa"/>
          </w:tcPr>
          <w:p w14:paraId="6C60B2CA" w14:textId="77777777" w:rsidR="007A0A8D" w:rsidRPr="007A0A8D" w:rsidRDefault="007A0A8D" w:rsidP="007A0A8D">
            <w:pPr>
              <w:pStyle w:val="TableParagraph"/>
              <w:spacing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megállapításának alapját,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részvétele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teljes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időtartama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 xml:space="preserve">alatt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elegendő és megfelelő volt-e ahhoz,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 megbízásért felelős partner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megalapozottan állíthassa,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körülményeire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tekintettel megfelelőek.</w:t>
            </w:r>
          </w:p>
        </w:tc>
        <w:tc>
          <w:tcPr>
            <w:tcW w:w="1000" w:type="dxa"/>
          </w:tcPr>
          <w:p w14:paraId="54B7EA6A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2EA8D3A1" w14:textId="77777777" w:rsidR="007A0A8D" w:rsidRPr="007A0A8D" w:rsidRDefault="007A0A8D" w:rsidP="007A0A8D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7A0A8D" w:rsidRPr="007A0A8D" w14:paraId="44EE33BE" w14:textId="77777777" w:rsidTr="007A0A8D">
        <w:trPr>
          <w:trHeight w:val="2204"/>
        </w:trPr>
        <w:tc>
          <w:tcPr>
            <w:tcW w:w="517" w:type="dxa"/>
          </w:tcPr>
          <w:p w14:paraId="30381ACE" w14:textId="56BB3839" w:rsidR="007A0A8D" w:rsidRPr="007A0A8D" w:rsidRDefault="007A0A8D" w:rsidP="007A0A8D">
            <w:pPr>
              <w:pStyle w:val="TableParagraph"/>
              <w:ind w:left="23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lastRenderedPageBreak/>
              <w:t>(g)</w:t>
            </w:r>
          </w:p>
        </w:tc>
        <w:tc>
          <w:tcPr>
            <w:tcW w:w="7138" w:type="dxa"/>
          </w:tcPr>
          <w:p w14:paraId="736917DD" w14:textId="77777777" w:rsidR="007A0A8D" w:rsidRPr="007A0A8D" w:rsidRDefault="007A0A8D" w:rsidP="007A0A8D">
            <w:pPr>
              <w:pStyle w:val="TableParagraph"/>
              <w:spacing w:before="70"/>
              <w:ind w:left="94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Áttekintés:</w:t>
            </w:r>
          </w:p>
          <w:p w14:paraId="21C580FC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123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Pénzügyi kimutatások könyvvizsgálata esetén a pénzügyi kimutatások és az azokról szóló könyvvizsgálói jelentés, beleértve adott esetben a kulcsfontosságú könyvvizsgálati kérdések leírását;</w:t>
            </w:r>
          </w:p>
          <w:p w14:paraId="30F1F53A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89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átvilágítási megbízások esetén a pénzügyi kimutatás vagy pénzügyi információk és az azokról szóló megbízási jelentés; vagy</w:t>
            </w:r>
          </w:p>
          <w:p w14:paraId="4D5975F4" w14:textId="77777777" w:rsidR="007A0A8D" w:rsidRPr="007A0A8D" w:rsidRDefault="007A0A8D" w:rsidP="007A0A8D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autoSpaceDE w:val="0"/>
              <w:autoSpaceDN w:val="0"/>
              <w:spacing w:before="15" w:line="240" w:lineRule="atLeast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Egyéb bizonyosságot nyújtó és kapcsolódó szolgáltatási megbízások esetén a megbízási jelentés és adott esetben a megbízás mögöttes tárgyával kapcsolatos információk.</w:t>
            </w:r>
          </w:p>
        </w:tc>
        <w:tc>
          <w:tcPr>
            <w:tcW w:w="1000" w:type="dxa"/>
          </w:tcPr>
          <w:p w14:paraId="7C0F0135" w14:textId="77777777" w:rsidR="007A0A8D" w:rsidRPr="007A0A8D" w:rsidRDefault="007A0A8D" w:rsidP="007A0A8D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66AE39D9" w14:textId="77777777" w:rsidR="007A0A8D" w:rsidRPr="007A0A8D" w:rsidRDefault="007A0A8D" w:rsidP="007A0A8D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</w:tr>
    </w:tbl>
    <w:p w14:paraId="0143C7CF" w14:textId="77777777" w:rsidR="007A0A8D" w:rsidRPr="007A0A8D" w:rsidRDefault="007A0A8D" w:rsidP="007A0A8D">
      <w:pPr>
        <w:spacing w:line="302" w:lineRule="auto"/>
        <w:ind w:left="130" w:right="2324"/>
        <w:rPr>
          <w:rFonts w:ascii="Arial Narrow" w:hAnsi="Arial Narrow"/>
          <w:spacing w:val="-4"/>
          <w:sz w:val="20"/>
          <w:szCs w:val="20"/>
        </w:rPr>
      </w:pPr>
    </w:p>
    <w:p w14:paraId="20550420" w14:textId="77777777" w:rsidR="007A0A8D" w:rsidRPr="007A0A8D" w:rsidRDefault="007A0A8D" w:rsidP="007A0A8D">
      <w:pPr>
        <w:tabs>
          <w:tab w:val="left" w:pos="8931"/>
        </w:tabs>
        <w:spacing w:line="302" w:lineRule="auto"/>
        <w:ind w:left="130" w:right="541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spacing w:val="-4"/>
          <w:sz w:val="20"/>
          <w:szCs w:val="20"/>
        </w:rPr>
        <w:t>A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megbízási</w:t>
      </w:r>
      <w:r w:rsidRPr="007A0A8D">
        <w:rPr>
          <w:rFonts w:ascii="Arial Narrow" w:hAnsi="Arial Narrow"/>
          <w:spacing w:val="-6"/>
          <w:sz w:val="20"/>
          <w:szCs w:val="20"/>
        </w:rPr>
        <w:t>ért felelős partner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által</w:t>
      </w:r>
      <w:r w:rsidRPr="007A0A8D">
        <w:rPr>
          <w:rFonts w:ascii="Arial Narrow" w:hAnsi="Arial Narrow"/>
          <w:spacing w:val="-6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hozott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jelentős</w:t>
      </w:r>
      <w:r w:rsidRPr="007A0A8D">
        <w:rPr>
          <w:rFonts w:ascii="Arial Narrow" w:hAnsi="Arial Narrow"/>
          <w:spacing w:val="-6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megítélésekkel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vagy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az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azokból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levont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következtetésekkel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>kapcsolatos</w:t>
      </w:r>
      <w:r w:rsidRPr="007A0A8D">
        <w:rPr>
          <w:rFonts w:ascii="Arial Narrow" w:hAnsi="Arial Narrow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spacing w:val="-4"/>
          <w:sz w:val="20"/>
          <w:szCs w:val="20"/>
        </w:rPr>
        <w:t xml:space="preserve">aggályok </w:t>
      </w:r>
      <w:r w:rsidRPr="007A0A8D">
        <w:rPr>
          <w:rFonts w:ascii="Arial Narrow" w:hAnsi="Arial Narrow"/>
          <w:spacing w:val="-2"/>
          <w:sz w:val="20"/>
          <w:szCs w:val="20"/>
        </w:rPr>
        <w:t>részletei?</w:t>
      </w:r>
    </w:p>
    <w:p w14:paraId="788C14BE" w14:textId="77777777" w:rsidR="007A0A8D" w:rsidRPr="007A0A8D" w:rsidRDefault="007A0A8D" w:rsidP="007A0A8D">
      <w:pPr>
        <w:pStyle w:val="Szvegtrzs"/>
        <w:spacing w:before="6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1BCF9376" w14:textId="77777777" w:rsidTr="00396479">
        <w:tc>
          <w:tcPr>
            <w:tcW w:w="10915" w:type="dxa"/>
          </w:tcPr>
          <w:p w14:paraId="3104AF8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396AAF91" w14:textId="77777777" w:rsidTr="00396479">
        <w:tc>
          <w:tcPr>
            <w:tcW w:w="10915" w:type="dxa"/>
          </w:tcPr>
          <w:p w14:paraId="0558C42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7E2C4C53" w14:textId="77777777" w:rsidTr="00396479">
        <w:tc>
          <w:tcPr>
            <w:tcW w:w="10915" w:type="dxa"/>
          </w:tcPr>
          <w:p w14:paraId="4CDE1083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790B16" w14:textId="77777777" w:rsidR="007A0A8D" w:rsidRPr="007A0A8D" w:rsidRDefault="007A0A8D" w:rsidP="007A0A8D">
      <w:pPr>
        <w:pStyle w:val="Szvegtrzs"/>
        <w:spacing w:before="158"/>
        <w:rPr>
          <w:rFonts w:ascii="Arial Narrow" w:hAnsi="Arial Narrow"/>
          <w:sz w:val="20"/>
          <w:szCs w:val="20"/>
        </w:rPr>
      </w:pPr>
    </w:p>
    <w:p w14:paraId="32AAF314" w14:textId="77777777" w:rsidR="007A0A8D" w:rsidRPr="007A0A8D" w:rsidRDefault="007A0A8D" w:rsidP="007A0A8D">
      <w:pPr>
        <w:ind w:left="130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Hogyan</w:t>
      </w:r>
      <w:r w:rsidRPr="007A0A8D">
        <w:rPr>
          <w:rFonts w:ascii="Arial Narrow" w:hAnsi="Arial Narrow"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oldották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meg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aggályokat?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(N/A,</w:t>
      </w:r>
      <w:r w:rsidRPr="007A0A8D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ha nem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merültek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fel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aggályok)</w:t>
      </w:r>
    </w:p>
    <w:p w14:paraId="633C26EC" w14:textId="77777777" w:rsidR="007A0A8D" w:rsidRPr="007A0A8D" w:rsidRDefault="007A0A8D" w:rsidP="007A0A8D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51EA551F" w14:textId="77777777" w:rsidTr="00396479">
        <w:tc>
          <w:tcPr>
            <w:tcW w:w="10915" w:type="dxa"/>
          </w:tcPr>
          <w:p w14:paraId="15AE11B7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4961F052" w14:textId="77777777" w:rsidTr="00396479">
        <w:tc>
          <w:tcPr>
            <w:tcW w:w="10915" w:type="dxa"/>
          </w:tcPr>
          <w:p w14:paraId="25D07695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292F68F1" w14:textId="77777777" w:rsidTr="00396479">
        <w:tc>
          <w:tcPr>
            <w:tcW w:w="10915" w:type="dxa"/>
          </w:tcPr>
          <w:p w14:paraId="4D4D4A7D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D99CA0" w14:textId="77777777" w:rsidR="007A0A8D" w:rsidRPr="007A0A8D" w:rsidRDefault="007A0A8D" w:rsidP="007A0A8D">
      <w:pPr>
        <w:pStyle w:val="Szvegtrzs"/>
        <w:rPr>
          <w:rFonts w:ascii="Arial Narrow" w:hAnsi="Arial Narrow"/>
          <w:sz w:val="20"/>
          <w:szCs w:val="20"/>
        </w:rPr>
      </w:pPr>
    </w:p>
    <w:p w14:paraId="6F0EBA78" w14:textId="50D121BB" w:rsidR="007A0A8D" w:rsidRPr="007A0A8D" w:rsidRDefault="007A0A8D" w:rsidP="007A0A8D">
      <w:pPr>
        <w:spacing w:before="51"/>
        <w:ind w:left="223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13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ISQM</w:t>
      </w:r>
      <w:r w:rsidRPr="007A0A8D">
        <w:rPr>
          <w:rFonts w:ascii="Arial Narrow" w:hAnsi="Arial Narrow"/>
          <w:b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2</w:t>
      </w:r>
      <w:r w:rsidRPr="007A0A8D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követelményei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teljesültek</w:t>
      </w:r>
      <w:r w:rsidRPr="007A0A8D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és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 megbízás minőségének áttekintése befejeződött.</w:t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  <w:t xml:space="preserve"> IGEN / NEM</w:t>
      </w:r>
    </w:p>
    <w:p w14:paraId="3FF29137" w14:textId="77777777" w:rsidR="007A0A8D" w:rsidRPr="007A0A8D" w:rsidRDefault="007A0A8D" w:rsidP="007A0A8D">
      <w:pPr>
        <w:pStyle w:val="Szvegtrzs"/>
        <w:spacing w:before="143"/>
        <w:rPr>
          <w:rFonts w:ascii="Arial Narrow" w:hAnsi="Arial Narrow"/>
          <w:sz w:val="20"/>
          <w:szCs w:val="20"/>
        </w:rPr>
      </w:pPr>
    </w:p>
    <w:p w14:paraId="0B285054" w14:textId="58467346" w:rsidR="007A0A8D" w:rsidRPr="007A0A8D" w:rsidRDefault="007A0A8D" w:rsidP="007A0A8D">
      <w:pPr>
        <w:rPr>
          <w:rFonts w:ascii="Arial Narrow" w:hAnsi="Arial Narrow"/>
          <w:color w:val="373637"/>
          <w:spacing w:val="-6"/>
          <w:sz w:val="20"/>
          <w:szCs w:val="20"/>
        </w:rPr>
      </w:pPr>
      <w:r w:rsidRPr="007A0A8D">
        <w:rPr>
          <w:rFonts w:ascii="Arial Narrow" w:hAnsi="Arial Narrow"/>
          <w:color w:val="373637"/>
          <w:spacing w:val="-6"/>
          <w:sz w:val="20"/>
          <w:szCs w:val="20"/>
        </w:rPr>
        <w:t>A fenti meghatározás alapja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5"/>
      </w:tblGrid>
      <w:tr w:rsidR="007A0A8D" w:rsidRPr="007A0A8D" w14:paraId="6B53A6E8" w14:textId="77777777" w:rsidTr="00396479">
        <w:tc>
          <w:tcPr>
            <w:tcW w:w="10910" w:type="dxa"/>
          </w:tcPr>
          <w:p w14:paraId="249E6349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70E446C7" w14:textId="77777777" w:rsidTr="00396479">
        <w:tc>
          <w:tcPr>
            <w:tcW w:w="10910" w:type="dxa"/>
          </w:tcPr>
          <w:p w14:paraId="033705C0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0A8D" w:rsidRPr="007A0A8D" w14:paraId="367EB685" w14:textId="77777777" w:rsidTr="00396479">
        <w:tc>
          <w:tcPr>
            <w:tcW w:w="10910" w:type="dxa"/>
          </w:tcPr>
          <w:p w14:paraId="007C2AB3" w14:textId="77777777" w:rsidR="007A0A8D" w:rsidRPr="007A0A8D" w:rsidRDefault="007A0A8D" w:rsidP="00396479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2CED93" w14:textId="77777777" w:rsidR="007A0A8D" w:rsidRPr="007A0A8D" w:rsidRDefault="007A0A8D" w:rsidP="007A0A8D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p w14:paraId="068928FB" w14:textId="21C125C4" w:rsidR="007A0A8D" w:rsidRPr="007A0A8D" w:rsidRDefault="007A0A8D" w:rsidP="007A0A8D">
      <w:pPr>
        <w:pStyle w:val="Szvegtrzs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A</w:t>
      </w:r>
      <w:r w:rsidRPr="007A0A8D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befejezés</w:t>
      </w:r>
      <w:r w:rsidRPr="007A0A8D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2"/>
          <w:sz w:val="20"/>
          <w:szCs w:val="20"/>
        </w:rPr>
        <w:t>időpontja:</w:t>
      </w:r>
      <w:bookmarkStart w:id="0" w:name="_bookmark31"/>
      <w:bookmarkEnd w:id="0"/>
    </w:p>
    <w:sectPr w:rsidR="007A0A8D" w:rsidRPr="007A0A8D" w:rsidSect="00315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CAB5" w14:textId="77777777" w:rsidR="00906C7F" w:rsidRDefault="00906C7F" w:rsidP="00315C87">
      <w:pPr>
        <w:spacing w:after="0" w:line="240" w:lineRule="auto"/>
      </w:pPr>
      <w:r>
        <w:separator/>
      </w:r>
    </w:p>
  </w:endnote>
  <w:endnote w:type="continuationSeparator" w:id="0">
    <w:p w14:paraId="5EA436E4" w14:textId="77777777" w:rsidR="00906C7F" w:rsidRDefault="00906C7F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AD8B" w14:textId="77777777" w:rsidR="00013AC3" w:rsidRDefault="00013A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324F" w14:textId="77777777" w:rsidR="00013AC3" w:rsidRDefault="00013A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50D4" w14:textId="77777777" w:rsidR="00906C7F" w:rsidRDefault="00906C7F" w:rsidP="00315C87">
      <w:pPr>
        <w:spacing w:after="0" w:line="240" w:lineRule="auto"/>
      </w:pPr>
      <w:r>
        <w:separator/>
      </w:r>
    </w:p>
  </w:footnote>
  <w:footnote w:type="continuationSeparator" w:id="0">
    <w:p w14:paraId="03A822B1" w14:textId="77777777" w:rsidR="00906C7F" w:rsidRDefault="00906C7F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  <w:footnote w:id="2">
    <w:p w14:paraId="1D298263" w14:textId="77777777" w:rsidR="007A0A8D" w:rsidRPr="004A6A3D" w:rsidRDefault="007A0A8D" w:rsidP="007A0A8D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5C7BE4C8" w14:textId="77777777" w:rsidR="007A0A8D" w:rsidRDefault="007A0A8D" w:rsidP="007A0A8D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24209" w14:textId="77777777" w:rsidR="00013AC3" w:rsidRDefault="00013A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32604B0" w:rsidR="00315C87" w:rsidRPr="006E4B2E" w:rsidRDefault="00264B09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264B09">
      <w:rPr>
        <w:rFonts w:ascii="Arial Narrow" w:eastAsia="Times New Roman" w:hAnsi="Arial Narrow"/>
        <w:b/>
        <w:sz w:val="32"/>
        <w:szCs w:val="32"/>
      </w:rPr>
      <w:t xml:space="preserve">A megbízás </w:t>
    </w:r>
    <w:r w:rsidRPr="00264B09">
      <w:rPr>
        <w:rFonts w:ascii="Arial Narrow" w:eastAsia="Times New Roman" w:hAnsi="Arial Narrow"/>
        <w:b/>
        <w:sz w:val="32"/>
        <w:szCs w:val="32"/>
      </w:rPr>
      <w:t>minőség</w:t>
    </w:r>
    <w:r w:rsidR="00013AC3">
      <w:rPr>
        <w:rFonts w:ascii="Arial Narrow" w:eastAsia="Times New Roman" w:hAnsi="Arial Narrow"/>
        <w:b/>
        <w:sz w:val="32"/>
        <w:szCs w:val="32"/>
      </w:rPr>
      <w:t>e</w:t>
    </w:r>
    <w:bookmarkStart w:id="1" w:name="_GoBack"/>
    <w:bookmarkEnd w:id="1"/>
    <w:r w:rsidRPr="00264B09">
      <w:rPr>
        <w:rFonts w:ascii="Arial Narrow" w:eastAsia="Times New Roman" w:hAnsi="Arial Narrow"/>
        <w:b/>
        <w:sz w:val="32"/>
        <w:szCs w:val="32"/>
      </w:rPr>
      <w:t xml:space="preserve"> áttekintés</w:t>
    </w:r>
    <w:r w:rsidR="007A0A8D">
      <w:rPr>
        <w:rFonts w:ascii="Arial Narrow" w:eastAsia="Times New Roman" w:hAnsi="Arial Narrow"/>
        <w:b/>
        <w:sz w:val="32"/>
        <w:szCs w:val="32"/>
      </w:rPr>
      <w:t>ének végrehajtása</w:t>
    </w:r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7E9F" w14:textId="77777777" w:rsidR="00013AC3" w:rsidRDefault="00013A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6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13AC3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A8D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06C7F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F619-C390-495A-B172-8ED42B64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v.1.25.69.0.1#2025.11.06.</dc:description>
  <cp:lastPrinted>2018-10-30T10:22:00Z</cp:lastPrinted>
  <dcterms:created xsi:type="dcterms:W3CDTF">2025-08-13T05:12:00Z</dcterms:created>
  <dcterms:modified xsi:type="dcterms:W3CDTF">2025-08-13T05:12:00Z</dcterms:modified>
</cp:coreProperties>
</file>